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511F9819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4660AB">
        <w:rPr>
          <w:sz w:val="24"/>
          <w:szCs w:val="24"/>
        </w:rPr>
        <w:t>-</w:t>
      </w:r>
      <w:r w:rsidR="000D2CE0">
        <w:rPr>
          <w:sz w:val="24"/>
          <w:szCs w:val="24"/>
        </w:rPr>
        <w:t>7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42824362" w14:textId="77777777" w:rsidR="000D2CE0" w:rsidRDefault="000D2CE0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D2CE0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9, нержавеющая сталь с ПВХ накладкой, D38 мм</w:t>
      </w:r>
    </w:p>
    <w:p w14:paraId="2ADDF70E" w14:textId="08871D78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196"/>
      </w:tblGrid>
      <w:tr w:rsidR="00E03A48" w14:paraId="258C51C4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0FF6DE65" w:rsidR="00E03A48" w:rsidRDefault="00602F27">
            <w:pPr>
              <w:rPr>
                <w:sz w:val="24"/>
                <w:szCs w:val="24"/>
              </w:rPr>
            </w:pPr>
            <w:r w:rsidRPr="00602F27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0A3FD935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602F27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0D2CE0">
              <w:rPr>
                <w:rFonts w:eastAsia="Times New Roman" w:cs="Calibri"/>
                <w:sz w:val="24"/>
                <w:szCs w:val="24"/>
              </w:rPr>
              <w:t>8</w:t>
            </w:r>
            <w:r w:rsidRPr="00606D88">
              <w:rPr>
                <w:rFonts w:eastAsia="Times New Roman" w:cs="Calibri"/>
                <w:sz w:val="24"/>
                <w:szCs w:val="24"/>
              </w:rPr>
              <w:t>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17907588" w:rsidR="00E03A48" w:rsidRPr="00602F27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длиной не менее </w:t>
            </w:r>
            <w:r w:rsidR="007B5C1D">
              <w:rPr>
                <w:rFonts w:eastAsia="Times New Roman" w:cs="Calibri"/>
                <w:sz w:val="24"/>
                <w:szCs w:val="24"/>
              </w:rPr>
              <w:t xml:space="preserve">   </w:t>
            </w:r>
            <w:r w:rsidR="000D2CE0">
              <w:rPr>
                <w:rFonts w:eastAsia="Times New Roman" w:cs="Calibri"/>
                <w:sz w:val="24"/>
                <w:szCs w:val="24"/>
              </w:rPr>
              <w:t>8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04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5F5FB291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ширина не менее </w:t>
            </w:r>
            <w:r w:rsidR="000D2CE0">
              <w:rPr>
                <w:rFonts w:eastAsia="Times New Roman" w:cs="Calibri"/>
                <w:sz w:val="24"/>
                <w:szCs w:val="24"/>
              </w:rPr>
              <w:t>10</w:t>
            </w:r>
            <w:r w:rsidR="007F79E5">
              <w:rPr>
                <w:rFonts w:eastAsia="Times New Roman" w:cs="Calibri"/>
                <w:sz w:val="24"/>
                <w:szCs w:val="24"/>
              </w:rPr>
              <w:t>00</w:t>
            </w:r>
            <w:r>
              <w:rPr>
                <w:rFonts w:eastAsia="Times New Roman" w:cs="Calibri"/>
                <w:sz w:val="24"/>
                <w:szCs w:val="24"/>
              </w:rPr>
              <w:t xml:space="preserve"> мм, глубина не менее 120 мм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2487F295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602F27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602F2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7BF35498" w:rsidR="00E03A48" w:rsidRDefault="00EE0EBA">
      <w:pPr>
        <w:rPr>
          <w:bCs/>
          <w:sz w:val="24"/>
          <w:szCs w:val="24"/>
        </w:rPr>
      </w:pPr>
      <w:r w:rsidRPr="00EE0EBA">
        <w:rPr>
          <w:bCs/>
          <w:sz w:val="24"/>
          <w:szCs w:val="24"/>
        </w:rPr>
        <w:t>Поручень опорный прямой, пристенный, тип 9,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2CE0"/>
    <w:rsid w:val="000F320B"/>
    <w:rsid w:val="001203BC"/>
    <w:rsid w:val="001F40E0"/>
    <w:rsid w:val="00232A18"/>
    <w:rsid w:val="002A2321"/>
    <w:rsid w:val="002C614C"/>
    <w:rsid w:val="002D7B65"/>
    <w:rsid w:val="00322D8E"/>
    <w:rsid w:val="00366495"/>
    <w:rsid w:val="003D0CA6"/>
    <w:rsid w:val="003E2B83"/>
    <w:rsid w:val="00424038"/>
    <w:rsid w:val="00452901"/>
    <w:rsid w:val="004660AB"/>
    <w:rsid w:val="005022CD"/>
    <w:rsid w:val="005160CA"/>
    <w:rsid w:val="00525B6A"/>
    <w:rsid w:val="005551E3"/>
    <w:rsid w:val="00586793"/>
    <w:rsid w:val="005E71F4"/>
    <w:rsid w:val="00602F27"/>
    <w:rsid w:val="00606D88"/>
    <w:rsid w:val="006F524C"/>
    <w:rsid w:val="007463B6"/>
    <w:rsid w:val="00764759"/>
    <w:rsid w:val="007A5F52"/>
    <w:rsid w:val="007B5C1D"/>
    <w:rsid w:val="007E5E7C"/>
    <w:rsid w:val="007F79E5"/>
    <w:rsid w:val="00804825"/>
    <w:rsid w:val="008117FA"/>
    <w:rsid w:val="00816C1A"/>
    <w:rsid w:val="00837BEF"/>
    <w:rsid w:val="00883E8A"/>
    <w:rsid w:val="009541F6"/>
    <w:rsid w:val="00955615"/>
    <w:rsid w:val="009723EB"/>
    <w:rsid w:val="00972D15"/>
    <w:rsid w:val="00975268"/>
    <w:rsid w:val="009753F5"/>
    <w:rsid w:val="009913D5"/>
    <w:rsid w:val="0099176E"/>
    <w:rsid w:val="009C1B59"/>
    <w:rsid w:val="009F7B0B"/>
    <w:rsid w:val="00A12F3D"/>
    <w:rsid w:val="00A14C93"/>
    <w:rsid w:val="00AE69FF"/>
    <w:rsid w:val="00B47B4D"/>
    <w:rsid w:val="00BD40CC"/>
    <w:rsid w:val="00C06D15"/>
    <w:rsid w:val="00C6307E"/>
    <w:rsid w:val="00CD18AB"/>
    <w:rsid w:val="00D0399E"/>
    <w:rsid w:val="00D328E3"/>
    <w:rsid w:val="00D46EC9"/>
    <w:rsid w:val="00D474AF"/>
    <w:rsid w:val="00D54A0C"/>
    <w:rsid w:val="00D642C6"/>
    <w:rsid w:val="00E03A48"/>
    <w:rsid w:val="00E1077B"/>
    <w:rsid w:val="00E453F3"/>
    <w:rsid w:val="00EE0EBA"/>
    <w:rsid w:val="00F049C3"/>
    <w:rsid w:val="00F66BBC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4522B-2F50-4D37-9005-F8EB842E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5</cp:revision>
  <cp:lastPrinted>2017-07-21T17:37:00Z</cp:lastPrinted>
  <dcterms:created xsi:type="dcterms:W3CDTF">2021-07-28T13:01:00Z</dcterms:created>
  <dcterms:modified xsi:type="dcterms:W3CDTF">2022-12-26T06:00:00Z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